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r w:rsidRPr="00CD5A02">
        <w:rPr>
          <w:rFonts w:ascii="Arial" w:hAnsi="Arial" w:cs="Arial"/>
          <w:sz w:val="20"/>
          <w:szCs w:val="20"/>
        </w:rPr>
        <w:t xml:space="preserve">us)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4B5BD7" w:rsidRPr="007D5F31">
        <w:rPr>
          <w:rFonts w:ascii="Arial" w:hAnsi="Arial" w:cs="Arial"/>
          <w:sz w:val="20"/>
          <w:szCs w:val="20"/>
        </w:rPr>
        <w:t xml:space="preserve"> </w:t>
      </w:r>
      <w:r w:rsidR="00107364" w:rsidRPr="00CD5A02">
        <w:rPr>
          <w:rFonts w:ascii="Arial" w:hAnsi="Arial" w:cs="Arial"/>
          <w:sz w:val="20"/>
          <w:szCs w:val="20"/>
        </w:rPr>
        <w:t>/ sąskaitą (−as) faktūrą (−as)</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Standard &amp; Poor’s reitingo agentūros – „BBB-“ arba Fitch reitingo agentūros – „BBB-“ arba Moody’s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r w:rsidR="002F6517" w:rsidRPr="00CD5A02">
        <w:rPr>
          <w:rFonts w:cs="Arial"/>
          <w:sz w:val="20"/>
          <w:szCs w:val="20"/>
          <w:lang w:val="lt-LT"/>
        </w:rPr>
        <w:t>io)</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1CD2"/>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E70A2"/>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030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8FD"/>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2026-03-20T07:40:00Z</dcterms:created>
  <dcterms:modified xsi:type="dcterms:W3CDTF">2026-03-20T07:40:00Z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